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25" w:rsidRPr="000C4825" w:rsidRDefault="000C4825" w:rsidP="000C4825">
      <w:pPr>
        <w:spacing w:line="240" w:lineRule="auto"/>
        <w:outlineLvl w:val="0"/>
        <w:rPr>
          <w:rFonts w:eastAsia="Times New Roman"/>
          <w:b/>
          <w:bCs/>
          <w:color w:val="EE7F00"/>
          <w:kern w:val="36"/>
          <w:sz w:val="40"/>
          <w:szCs w:val="40"/>
          <w:lang w:val="de-CH"/>
        </w:rPr>
      </w:pPr>
      <w:r w:rsidRPr="000C4825">
        <w:rPr>
          <w:b/>
          <w:bCs/>
          <w:sz w:val="40"/>
          <w:szCs w:val="40"/>
          <w:lang w:val="de-CH"/>
        </w:rPr>
        <w:t>Checkliste zur Überprüfung von Gruppierungen</w:t>
      </w:r>
      <w:r w:rsidRPr="000C4825">
        <w:rPr>
          <w:rFonts w:eastAsia="Times New Roman"/>
          <w:b/>
          <w:bCs/>
          <w:color w:val="EE7F00"/>
          <w:kern w:val="36"/>
          <w:sz w:val="40"/>
          <w:szCs w:val="40"/>
          <w:lang w:val="de-CH"/>
        </w:rPr>
        <w:t xml:space="preserve"> </w:t>
      </w:r>
    </w:p>
    <w:p w:rsidR="000C4825" w:rsidRDefault="000C4825">
      <w:pPr>
        <w:spacing w:after="160" w:line="259" w:lineRule="auto"/>
        <w:rPr>
          <w:b/>
          <w:bCs/>
          <w:color w:val="0082C7"/>
          <w:sz w:val="28"/>
          <w:szCs w:val="28"/>
          <w:lang w:val="de-CH"/>
        </w:rPr>
      </w:pPr>
      <w:r w:rsidRPr="000C4825">
        <w:rPr>
          <w:b/>
          <w:bCs/>
          <w:color w:val="0082C7"/>
          <w:sz w:val="28"/>
          <w:szCs w:val="28"/>
          <w:lang w:val="de-CH"/>
        </w:rPr>
        <w:t>Niveau: anspruchsvoll (Vokabular)</w:t>
      </w:r>
    </w:p>
    <w:p w:rsidR="000C4825" w:rsidRDefault="000C4825">
      <w:pPr>
        <w:spacing w:after="160" w:line="259" w:lineRule="auto"/>
        <w:rPr>
          <w:b/>
          <w:bCs/>
          <w:color w:val="0082C7"/>
          <w:sz w:val="28"/>
          <w:szCs w:val="28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 xml:space="preserve">Struktur der Organisation: 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Gruppe mit straff hierarchischer und doktrinärer Struktur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Autoritäre Führung:</w:t>
      </w:r>
      <w:r w:rsidRPr="000C4825">
        <w:rPr>
          <w:rFonts w:eastAsia="Times New Roman"/>
          <w:color w:val="4D4D4D"/>
          <w:sz w:val="24"/>
          <w:szCs w:val="24"/>
          <w:lang w:val="de-CH"/>
        </w:rPr>
        <w:t xml:space="preserve"> Führergestalt mit prophetischen oder </w:t>
      </w:r>
      <w:proofErr w:type="spellStart"/>
      <w:r w:rsidRPr="000C4825">
        <w:rPr>
          <w:rFonts w:eastAsia="Times New Roman"/>
          <w:color w:val="4D4D4D"/>
          <w:sz w:val="24"/>
          <w:szCs w:val="24"/>
          <w:lang w:val="de-CH"/>
        </w:rPr>
        <w:t>guruhafter</w:t>
      </w:r>
      <w:proofErr w:type="spellEnd"/>
      <w:r w:rsidRPr="000C4825">
        <w:rPr>
          <w:rFonts w:eastAsia="Times New Roman"/>
          <w:color w:val="4D4D4D"/>
          <w:sz w:val="24"/>
          <w:szCs w:val="24"/>
          <w:lang w:val="de-CH"/>
        </w:rPr>
        <w:t xml:space="preserve"> Ansprüchen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 xml:space="preserve">Offenheit der Gruppe: 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Isolation und starke Abgrenzung der Gruppe nach aussen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Leistungen für die Gruppe: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 überteuerte Kursangebote oder Kosten für Lehrmaterial, Fronarbeit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 xml:space="preserve">Welt- und Menschenbild: 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Einteilung der Welt in Gut und Böse, Schwarz-Weiss-Denken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Absolutheitsanspruch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: ausschliessender Glaube an die absolute Wahrheit des eigenen Systems, der eigenen Lehre, des eigenen Weges, der eigenen Methoden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Erlösungs- oder Heilsversprechen</w:t>
      </w:r>
      <w:r w:rsidRPr="000C4825">
        <w:rPr>
          <w:rFonts w:eastAsia="Times New Roman"/>
          <w:color w:val="4D4D4D"/>
          <w:sz w:val="24"/>
          <w:szCs w:val="24"/>
          <w:lang w:val="de-CH"/>
        </w:rPr>
        <w:t xml:space="preserve">:  </w:t>
      </w:r>
      <w:r w:rsidRPr="000C4825">
        <w:rPr>
          <w:rFonts w:ascii="ArialMT" w:eastAsia="Times New Roman" w:hAnsi="ArialMT"/>
          <w:color w:val="4D4D4D"/>
          <w:sz w:val="24"/>
          <w:szCs w:val="24"/>
          <w:lang w:val="de-CH"/>
        </w:rPr>
        <w:t>«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Universalrezepte</w:t>
      </w:r>
      <w:r w:rsidRPr="000C4825">
        <w:rPr>
          <w:rFonts w:ascii="ArialMT" w:eastAsia="Times New Roman" w:hAnsi="ArialMT"/>
          <w:color w:val="4D4D4D"/>
          <w:sz w:val="24"/>
          <w:szCs w:val="24"/>
          <w:lang w:val="de-CH"/>
        </w:rPr>
        <w:t>»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 für sämtliche Probleme sowie irreale Machbarkeitsvorstellungen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Elitebewusstsein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: </w:t>
      </w:r>
      <w:r w:rsidRPr="000C4825">
        <w:rPr>
          <w:rFonts w:ascii="Helvetica" w:eastAsia="Times New Roman" w:hAnsi="Helvetica"/>
          <w:color w:val="4D4D4D"/>
          <w:sz w:val="24"/>
          <w:szCs w:val="24"/>
          <w:lang w:val="de-CH"/>
        </w:rPr>
        <w:t>Die Mitglieder der Gruppe verstehen sich als auserwählt, als spirituell weiterentwickelte Elite der Menschheit, als „Speerspitze“ des Wissens.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973F61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</w:rPr>
      </w:pPr>
      <w:proofErr w:type="spellStart"/>
      <w:r w:rsidRPr="00973F61">
        <w:rPr>
          <w:rFonts w:eastAsia="Times New Roman"/>
          <w:b/>
          <w:bCs/>
          <w:color w:val="4D4D4D"/>
          <w:sz w:val="24"/>
          <w:szCs w:val="24"/>
        </w:rPr>
        <w:t>Endzeiterwartung</w:t>
      </w:r>
      <w:proofErr w:type="spellEnd"/>
      <w:r w:rsidRPr="00973F61">
        <w:rPr>
          <w:rFonts w:eastAsia="Times New Roman"/>
          <w:color w:val="4D4D4D"/>
          <w:sz w:val="24"/>
          <w:szCs w:val="24"/>
        </w:rPr>
        <w:t xml:space="preserve">: </w:t>
      </w:r>
      <w:proofErr w:type="spellStart"/>
      <w:r w:rsidRPr="00973F61">
        <w:rPr>
          <w:rFonts w:eastAsia="Times New Roman"/>
          <w:color w:val="4D4D4D"/>
          <w:sz w:val="24"/>
          <w:szCs w:val="24"/>
        </w:rPr>
        <w:t>Gruppe</w:t>
      </w:r>
      <w:proofErr w:type="spellEnd"/>
      <w:r w:rsidRPr="00973F61">
        <w:rPr>
          <w:rFonts w:eastAsia="Times New Roman"/>
          <w:color w:val="4D4D4D"/>
          <w:sz w:val="24"/>
          <w:szCs w:val="24"/>
        </w:rPr>
        <w:t xml:space="preserve"> </w:t>
      </w:r>
      <w:proofErr w:type="spellStart"/>
      <w:r w:rsidRPr="00973F61">
        <w:rPr>
          <w:rFonts w:eastAsia="Times New Roman"/>
          <w:color w:val="4D4D4D"/>
          <w:sz w:val="24"/>
          <w:szCs w:val="24"/>
        </w:rPr>
        <w:t>erwartet</w:t>
      </w:r>
      <w:proofErr w:type="spellEnd"/>
      <w:r w:rsidRPr="00973F61">
        <w:rPr>
          <w:rFonts w:eastAsia="Times New Roman"/>
          <w:color w:val="4D4D4D"/>
          <w:sz w:val="24"/>
          <w:szCs w:val="24"/>
        </w:rPr>
        <w:t xml:space="preserve"> </w:t>
      </w:r>
      <w:proofErr w:type="spellStart"/>
      <w:r w:rsidRPr="00973F61">
        <w:rPr>
          <w:rFonts w:eastAsia="Times New Roman"/>
          <w:color w:val="4D4D4D"/>
          <w:sz w:val="24"/>
          <w:szCs w:val="24"/>
        </w:rPr>
        <w:t>Endzeit</w:t>
      </w:r>
      <w:proofErr w:type="spellEnd"/>
      <w:r w:rsidRPr="00973F61">
        <w:rPr>
          <w:rFonts w:eastAsia="Times New Roman"/>
          <w:color w:val="4D4D4D"/>
          <w:sz w:val="24"/>
          <w:szCs w:val="24"/>
        </w:rPr>
        <w:t xml:space="preserve">, </w:t>
      </w:r>
      <w:proofErr w:type="spellStart"/>
      <w:r w:rsidRPr="00973F61">
        <w:rPr>
          <w:rFonts w:eastAsia="Times New Roman"/>
          <w:color w:val="4D4D4D"/>
          <w:sz w:val="24"/>
          <w:szCs w:val="24"/>
        </w:rPr>
        <w:t>Weltuntergang</w:t>
      </w:r>
      <w:proofErr w:type="spellEnd"/>
    </w:p>
    <w:p w:rsidR="000C4825" w:rsidRPr="00973F61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Informationspolitik nach Aussen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: keine offene Informationspolitik, irreführende Propaganda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 xml:space="preserve">Informationspolitik nach </w:t>
      </w:r>
      <w:proofErr w:type="spellStart"/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Innen</w:t>
      </w:r>
      <w:proofErr w:type="spellEnd"/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:</w:t>
      </w:r>
      <w:r w:rsidRPr="000C4825">
        <w:rPr>
          <w:rFonts w:eastAsia="Times New Roman"/>
          <w:color w:val="4D4D4D"/>
          <w:sz w:val="24"/>
          <w:szCs w:val="24"/>
          <w:lang w:val="de-CH"/>
        </w:rPr>
        <w:t xml:space="preserve"> Selektion von Information bis hin zu bewusster Desinformation innerhalb der Gruppe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Umgang mit Kritik:</w:t>
      </w:r>
      <w:r w:rsidRPr="000C4825">
        <w:rPr>
          <w:rFonts w:eastAsia="Times New Roman"/>
          <w:color w:val="4D4D4D"/>
          <w:sz w:val="24"/>
          <w:szCs w:val="24"/>
          <w:lang w:val="de-CH"/>
        </w:rPr>
        <w:t xml:space="preserve"> Kritikverbot innerhalb der Gruppe; Bekämpfung von </w:t>
      </w:r>
      <w:proofErr w:type="spellStart"/>
      <w:r w:rsidRPr="000C4825">
        <w:rPr>
          <w:rFonts w:eastAsia="Times New Roman"/>
          <w:color w:val="4D4D4D"/>
          <w:sz w:val="24"/>
          <w:szCs w:val="24"/>
          <w:lang w:val="de-CH"/>
        </w:rPr>
        <w:t>KritikerInnen</w:t>
      </w:r>
      <w:proofErr w:type="spellEnd"/>
      <w:r w:rsidRPr="000C4825">
        <w:rPr>
          <w:rFonts w:eastAsia="Times New Roman"/>
          <w:color w:val="4D4D4D"/>
          <w:sz w:val="24"/>
          <w:szCs w:val="24"/>
          <w:lang w:val="de-CH"/>
        </w:rPr>
        <w:t xml:space="preserve"> ausserhalb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Milieukontrolle:</w:t>
      </w:r>
      <w:r w:rsidRPr="000C4825">
        <w:rPr>
          <w:rFonts w:eastAsia="Times New Roman"/>
          <w:color w:val="4D4D4D"/>
          <w:sz w:val="24"/>
          <w:szCs w:val="24"/>
          <w:lang w:val="de-CH"/>
        </w:rPr>
        <w:t xml:space="preserve"> Kontrolle und Überwachung aller Lebensbereiche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Rücksichtlose Methoden:</w:t>
      </w:r>
      <w:r w:rsidRPr="000C4825">
        <w:rPr>
          <w:rFonts w:eastAsia="Times New Roman"/>
          <w:color w:val="4D4D4D"/>
          <w:sz w:val="24"/>
          <w:szCs w:val="24"/>
          <w:lang w:val="de-CH"/>
        </w:rPr>
        <w:t xml:space="preserve"> getarnte oder irreführende Anwerbung, Indoktrination, Einsatz von bewusstseinsverändernden Methoden</w:t>
      </w:r>
    </w:p>
    <w:p w:rsidR="000C4825" w:rsidRPr="000C4825" w:rsidRDefault="000C4825" w:rsidP="000C4825">
      <w:pPr>
        <w:spacing w:after="0" w:line="240" w:lineRule="auto"/>
        <w:rPr>
          <w:rFonts w:eastAsia="Times New Roman"/>
          <w:color w:val="4D4D4D"/>
          <w:sz w:val="24"/>
          <w:szCs w:val="24"/>
          <w:lang w:val="de-CH"/>
        </w:rPr>
      </w:pPr>
    </w:p>
    <w:p w:rsidR="000C4825" w:rsidRPr="000C4825" w:rsidRDefault="000C4825" w:rsidP="000C4825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color w:val="4D4D4D"/>
          <w:sz w:val="24"/>
          <w:szCs w:val="24"/>
          <w:lang w:val="de-CH"/>
        </w:rPr>
      </w:pPr>
      <w:r w:rsidRPr="000C4825">
        <w:rPr>
          <w:rFonts w:eastAsia="Times New Roman"/>
          <w:b/>
          <w:bCs/>
          <w:color w:val="4D4D4D"/>
          <w:sz w:val="24"/>
          <w:szCs w:val="24"/>
          <w:lang w:val="de-CH"/>
        </w:rPr>
        <w:t>Gedanken- und Gefühlskontrolle</w:t>
      </w:r>
      <w:r w:rsidRPr="000C4825">
        <w:rPr>
          <w:rFonts w:eastAsia="Times New Roman"/>
          <w:color w:val="4D4D4D"/>
          <w:sz w:val="24"/>
          <w:szCs w:val="24"/>
          <w:lang w:val="de-CH"/>
        </w:rPr>
        <w:t>: durch Erzeugung eines schlechten Gewissens und von Angst wird das Mitglied manipuliert; durch exzessives Praktizieren von Entspannungstechniken und Meditation werden Gedanken und Gefühle kontrollierbar und manchmal sogar ein “innerer Führer” eingeführt, der das eigene Gewissen ersetzt</w:t>
      </w:r>
    </w:p>
    <w:p w:rsidR="000C4825" w:rsidRDefault="000C4825">
      <w:pPr>
        <w:spacing w:after="160" w:line="259" w:lineRule="auto"/>
        <w:rPr>
          <w:b/>
          <w:bCs/>
          <w:color w:val="0082C7"/>
          <w:lang w:val="de-CH"/>
        </w:rPr>
      </w:pPr>
      <w:bookmarkStart w:id="0" w:name="_GoBack"/>
      <w:bookmarkEnd w:id="0"/>
    </w:p>
    <w:p w:rsidR="000C4825" w:rsidRDefault="000C4825">
      <w:pPr>
        <w:spacing w:after="160" w:line="259" w:lineRule="auto"/>
        <w:rPr>
          <w:b/>
          <w:bCs/>
          <w:color w:val="0082C7"/>
          <w:lang w:val="de-CH"/>
        </w:rPr>
      </w:pPr>
    </w:p>
    <w:p w:rsidR="000C4825" w:rsidRPr="006D4C10" w:rsidRDefault="000C4825" w:rsidP="000C4825">
      <w:pPr>
        <w:pStyle w:val="KeinLeerraum"/>
        <w:rPr>
          <w:rStyle w:val="Hyperlink"/>
        </w:rPr>
      </w:pPr>
      <w:r w:rsidRPr="006D4C10">
        <w:t xml:space="preserve">Quelle: </w:t>
      </w:r>
      <w:hyperlink r:id="rId7" w:history="1">
        <w:r w:rsidRPr="006D4C10">
          <w:rPr>
            <w:rStyle w:val="Hyperlink"/>
          </w:rPr>
          <w:t>http://www.infosekta.ch/was-ist-eine-sekte/sektenmerkmale/</w:t>
        </w:r>
      </w:hyperlink>
      <w:r w:rsidRPr="006D4C10">
        <w:rPr>
          <w:rStyle w:val="Hyperlink"/>
        </w:rPr>
        <w:t xml:space="preserve"> (eingesehen am 1.5.2020)</w:t>
      </w:r>
    </w:p>
    <w:p w:rsidR="000C4825" w:rsidRPr="000C4825" w:rsidRDefault="000C4825" w:rsidP="000C4825">
      <w:pPr>
        <w:spacing w:after="160" w:line="259" w:lineRule="auto"/>
        <w:rPr>
          <w:b/>
          <w:bCs/>
          <w:color w:val="0082C7"/>
          <w:sz w:val="28"/>
          <w:szCs w:val="28"/>
          <w:lang w:val="de-CH"/>
        </w:rPr>
      </w:pPr>
    </w:p>
    <w:sectPr w:rsidR="000C4825" w:rsidRPr="000C4825" w:rsidSect="000C4825">
      <w:footerReference w:type="default" r:id="rId8"/>
      <w:headerReference w:type="first" r:id="rId9"/>
      <w:footerReference w:type="first" r:id="rId10"/>
      <w:pgSz w:w="11905" w:h="16837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45" w:rsidRDefault="000C4825">
      <w:pPr>
        <w:spacing w:after="0" w:line="240" w:lineRule="auto"/>
      </w:pPr>
      <w:r>
        <w:separator/>
      </w:r>
    </w:p>
  </w:endnote>
  <w:endnote w:type="continuationSeparator" w:id="0">
    <w:p w:rsidR="00896045" w:rsidRDefault="000C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BB" w:rsidRPr="00796965" w:rsidRDefault="000C4825">
    <w:pPr>
      <w:pStyle w:val="center"/>
      <w:rPr>
        <w:lang w:val="de-CH"/>
      </w:rPr>
    </w:pPr>
    <w:r w:rsidRPr="000C4825">
      <w:rPr>
        <w:lang w:val="de-CH"/>
      </w:rPr>
      <w:t xml:space="preserve">Gibt es eigentlich eine wahre Religion? </w:t>
    </w:r>
  </w:p>
  <w:p w:rsidR="00E80BBB" w:rsidRDefault="000C4825">
    <w:pPr>
      <w:jc w:val="center"/>
    </w:pPr>
    <w:r>
      <w:fldChar w:fldCharType="begin"/>
    </w:r>
    <w:r>
      <w:instrText>PAGE</w:instrText>
    </w:r>
    <w:r>
      <w:fldChar w:fldCharType="separate"/>
    </w:r>
    <w:r w:rsidR="0079696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BB" w:rsidRPr="000C4825" w:rsidRDefault="000C4825">
    <w:pPr>
      <w:pStyle w:val="center"/>
      <w:rPr>
        <w:lang w:val="de-CH"/>
      </w:rPr>
    </w:pPr>
    <w:r w:rsidRPr="000C4825">
      <w:rPr>
        <w:lang w:val="de-CH"/>
      </w:rPr>
      <w:t>Gibt es eigentlich eine wahre Religion</w:t>
    </w:r>
    <w:r>
      <w:rPr>
        <w:lang w:val="de-CH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45" w:rsidRDefault="000C4825">
      <w:pPr>
        <w:spacing w:after="0" w:line="240" w:lineRule="auto"/>
      </w:pPr>
      <w:r>
        <w:separator/>
      </w:r>
    </w:p>
  </w:footnote>
  <w:footnote w:type="continuationSeparator" w:id="0">
    <w:p w:rsidR="00896045" w:rsidRDefault="000C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3436"/>
      <w:gridCol w:w="2799"/>
    </w:tblGrid>
    <w:tr w:rsidR="00E80BBB">
      <w:tc>
        <w:tcPr>
          <w:tcW w:w="0" w:type="auto"/>
        </w:tcPr>
        <w:p w:rsidR="00E80BBB" w:rsidRDefault="000C4825">
          <w:r>
            <w:rPr>
              <w:noProof/>
              <w:lang w:val="de-CH"/>
            </w:rPr>
            <w:drawing>
              <wp:inline distT="0" distB="0" distL="0" distR="0">
                <wp:extent cx="2667000" cy="381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E80BBB" w:rsidRDefault="00E80BBB"/>
      </w:tc>
      <w:tc>
        <w:tcPr>
          <w:tcW w:w="0" w:type="auto"/>
          <w:vAlign w:val="bottom"/>
        </w:tcPr>
        <w:p w:rsidR="00E80BBB" w:rsidRDefault="000C4825">
          <w:r>
            <w:rPr>
              <w:rStyle w:val="headerFont"/>
            </w:rPr>
            <w:t>entdecke.lu.ch</w:t>
          </w:r>
        </w:p>
      </w:tc>
    </w:tr>
  </w:tbl>
  <w:p w:rsidR="00E80BBB" w:rsidRDefault="00E80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D76552"/>
    <w:multiLevelType w:val="hybridMultilevel"/>
    <w:tmpl w:val="F4062FC4"/>
    <w:lvl w:ilvl="0" w:tplc="D026E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B00C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A4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2AB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0C299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54C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7C87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908A0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D6D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AEFB5"/>
    <w:multiLevelType w:val="hybridMultilevel"/>
    <w:tmpl w:val="65DC2C16"/>
    <w:lvl w:ilvl="0" w:tplc="AFC8F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0826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EF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52CA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1466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404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B0E7C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7AD7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FA6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8C58C0"/>
    <w:multiLevelType w:val="hybridMultilevel"/>
    <w:tmpl w:val="F19A3D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FF18"/>
    <w:multiLevelType w:val="hybridMultilevel"/>
    <w:tmpl w:val="22F4768A"/>
    <w:lvl w:ilvl="0" w:tplc="F1F01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1C2F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2D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203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FA85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1EB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56AC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24B8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40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2E0EF3"/>
    <w:multiLevelType w:val="hybridMultilevel"/>
    <w:tmpl w:val="5D32BD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334"/>
    <w:multiLevelType w:val="hybridMultilevel"/>
    <w:tmpl w:val="0A500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5715"/>
    <w:multiLevelType w:val="multilevel"/>
    <w:tmpl w:val="230E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D624C"/>
    <w:multiLevelType w:val="hybridMultilevel"/>
    <w:tmpl w:val="27BE210A"/>
    <w:lvl w:ilvl="0" w:tplc="DAEE7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04A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B83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AC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8E21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98B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B67E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5769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4AAB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B"/>
    <w:rsid w:val="000C4825"/>
    <w:rsid w:val="00796965"/>
    <w:rsid w:val="00896045"/>
    <w:rsid w:val="00E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F882368-768C-47AA-9A25-37199716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0082C7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0082C7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0082C7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0082C7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0C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4825"/>
  </w:style>
  <w:style w:type="paragraph" w:styleId="Fuzeile">
    <w:name w:val="footer"/>
    <w:basedOn w:val="Standard"/>
    <w:link w:val="FuzeileZchn"/>
    <w:uiPriority w:val="99"/>
    <w:unhideWhenUsed/>
    <w:rsid w:val="000C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825"/>
  </w:style>
  <w:style w:type="table" w:styleId="Tabellenraster">
    <w:name w:val="Table Grid"/>
    <w:basedOn w:val="NormaleTabelle"/>
    <w:uiPriority w:val="39"/>
    <w:rsid w:val="000C4825"/>
    <w:pPr>
      <w:spacing w:after="0" w:line="240" w:lineRule="auto"/>
    </w:pPr>
    <w:rPr>
      <w:rFonts w:asciiTheme="minorHAnsi" w:eastAsiaTheme="minorHAnsi" w:hAnsiTheme="minorHAnsi" w:cstheme="minorBid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C4825"/>
    <w:pPr>
      <w:spacing w:after="0"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0C4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fosekta.ch/was-ist-eine-sekte/sektenmerkma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1645</Characters>
  <Application>Microsoft Office Word</Application>
  <DocSecurity>0</DocSecurity>
  <Lines>329</Lines>
  <Paragraphs>328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 Ammer Tina (Beauftragte Medien und Informatik)</dc:creator>
  <cp:keywords/>
  <dc:description/>
  <cp:lastModifiedBy>DVS Ammer Tina (Beauftragte Medien und Informatik)</cp:lastModifiedBy>
  <cp:revision>2</cp:revision>
  <dcterms:created xsi:type="dcterms:W3CDTF">2020-05-12T15:18:00Z</dcterms:created>
  <dcterms:modified xsi:type="dcterms:W3CDTF">2020-05-12T15:18:00Z</dcterms:modified>
  <cp:category/>
</cp:coreProperties>
</file>