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7FDAD" w14:textId="3952B37E" w:rsidR="00A04401" w:rsidRDefault="000A4130" w:rsidP="00B41C40">
      <w:pPr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  <w:t>Kunstszene – Personen und Einrichtungen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9746"/>
      </w:tblGrid>
      <w:tr w:rsidR="000A4130" w:rsidRPr="000A4130" w14:paraId="70529106" w14:textId="77777777" w:rsidTr="000A4130">
        <w:tc>
          <w:tcPr>
            <w:tcW w:w="4531" w:type="dxa"/>
          </w:tcPr>
          <w:p w14:paraId="11AFB663" w14:textId="05A29967" w:rsidR="000A4130" w:rsidRPr="000A4130" w:rsidRDefault="000A4130" w:rsidP="00B26B87">
            <w:pPr>
              <w:spacing w:before="240" w:after="240"/>
              <w:rPr>
                <w:rFonts w:ascii="Arial" w:eastAsia="Arial" w:hAnsi="Arial" w:cs="Arial"/>
                <w:b/>
                <w:bCs/>
                <w:color w:val="0082C7"/>
                <w:sz w:val="24"/>
                <w:szCs w:val="24"/>
                <w:lang w:eastAsia="de-CH"/>
              </w:rPr>
            </w:pPr>
            <w:r w:rsidRPr="000A4130">
              <w:rPr>
                <w:rFonts w:ascii="Arial" w:eastAsia="Arial" w:hAnsi="Arial" w:cs="Arial"/>
                <w:b/>
                <w:bCs/>
                <w:color w:val="0082C7"/>
                <w:sz w:val="24"/>
                <w:szCs w:val="24"/>
                <w:lang w:eastAsia="de-CH"/>
              </w:rPr>
              <w:t>Personen/Einrichtungen</w:t>
            </w:r>
          </w:p>
        </w:tc>
        <w:tc>
          <w:tcPr>
            <w:tcW w:w="9746" w:type="dxa"/>
          </w:tcPr>
          <w:p w14:paraId="1CF4A45F" w14:textId="76A9E0F8" w:rsidR="000A4130" w:rsidRPr="000A4130" w:rsidRDefault="000A4130" w:rsidP="00B26B87">
            <w:pPr>
              <w:spacing w:before="240" w:after="240"/>
              <w:rPr>
                <w:rFonts w:ascii="Arial" w:eastAsia="Arial" w:hAnsi="Arial" w:cs="Arial"/>
                <w:b/>
                <w:bCs/>
                <w:color w:val="0082C7"/>
                <w:sz w:val="24"/>
                <w:szCs w:val="24"/>
                <w:lang w:eastAsia="de-CH"/>
              </w:rPr>
            </w:pPr>
            <w:r w:rsidRPr="000A4130">
              <w:rPr>
                <w:rFonts w:ascii="Arial" w:eastAsia="Arial" w:hAnsi="Arial" w:cs="Arial"/>
                <w:b/>
                <w:bCs/>
                <w:color w:val="0082C7"/>
                <w:sz w:val="24"/>
                <w:szCs w:val="24"/>
                <w:lang w:eastAsia="de-CH"/>
              </w:rPr>
              <w:t>Was machen die? Was ist die Aufgabe?</w:t>
            </w:r>
          </w:p>
        </w:tc>
      </w:tr>
      <w:tr w:rsidR="000A4130" w:rsidRPr="000A4130" w14:paraId="624CFAD2" w14:textId="77777777" w:rsidTr="000A4130">
        <w:tc>
          <w:tcPr>
            <w:tcW w:w="4531" w:type="dxa"/>
          </w:tcPr>
          <w:p w14:paraId="2A927C15" w14:textId="05197B83" w:rsidR="000A4130" w:rsidRPr="000A4130" w:rsidRDefault="000A4130" w:rsidP="00B26B87">
            <w:pPr>
              <w:spacing w:before="240" w:after="240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</w:pPr>
            <w:r w:rsidRPr="000A4130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  <w:t>Museum</w:t>
            </w:r>
          </w:p>
        </w:tc>
        <w:tc>
          <w:tcPr>
            <w:tcW w:w="9746" w:type="dxa"/>
          </w:tcPr>
          <w:p w14:paraId="50AEF07E" w14:textId="69A8FB29" w:rsidR="000A4130" w:rsidRPr="00E03FCE" w:rsidRDefault="004A7833" w:rsidP="00073337">
            <w:pPr>
              <w:spacing w:before="240" w:after="240"/>
              <w:rPr>
                <w:rFonts w:ascii="Arial" w:eastAsia="Arial" w:hAnsi="Arial" w:cs="Arial"/>
                <w:bCs/>
                <w:color w:val="0082C7"/>
                <w:sz w:val="24"/>
                <w:szCs w:val="24"/>
                <w:lang w:eastAsia="de-CH"/>
              </w:rPr>
            </w:pPr>
            <w:r w:rsidRPr="00E03FCE">
              <w:rPr>
                <w:rFonts w:ascii="Arial" w:eastAsia="Arial" w:hAnsi="Arial" w:cs="Arial"/>
                <w:bCs/>
                <w:color w:val="0082C7"/>
                <w:sz w:val="24"/>
                <w:szCs w:val="24"/>
                <w:lang w:eastAsia="de-CH"/>
              </w:rPr>
              <w:t xml:space="preserve">Betreibt das </w:t>
            </w:r>
            <w:r w:rsidR="00073337" w:rsidRPr="00E03FCE">
              <w:rPr>
                <w:rFonts w:ascii="Arial" w:eastAsia="Arial" w:hAnsi="Arial" w:cs="Arial"/>
                <w:bCs/>
                <w:color w:val="0082C7"/>
                <w:sz w:val="24"/>
                <w:szCs w:val="24"/>
                <w:lang w:eastAsia="de-CH"/>
              </w:rPr>
              <w:t>Sammeln, Bewahren</w:t>
            </w:r>
            <w:r w:rsidR="00073337" w:rsidRPr="00E03FCE">
              <w:rPr>
                <w:rStyle w:val="Funotenzeichen"/>
                <w:rFonts w:ascii="Arial" w:eastAsia="Arial" w:hAnsi="Arial" w:cs="Arial"/>
                <w:bCs/>
                <w:color w:val="0082C7"/>
                <w:sz w:val="24"/>
                <w:szCs w:val="24"/>
                <w:lang w:eastAsia="de-CH"/>
              </w:rPr>
              <w:footnoteReference w:id="1"/>
            </w:r>
            <w:r w:rsidR="00073337" w:rsidRPr="00E03FCE">
              <w:rPr>
                <w:rFonts w:ascii="Arial" w:eastAsia="Arial" w:hAnsi="Arial" w:cs="Arial"/>
                <w:bCs/>
                <w:color w:val="0082C7"/>
                <w:sz w:val="24"/>
                <w:szCs w:val="24"/>
                <w:lang w:eastAsia="de-CH"/>
              </w:rPr>
              <w:t>, Forschen, Ausstellen und Vermitteln</w:t>
            </w:r>
            <w:r w:rsidR="00073337" w:rsidRPr="00E03FCE">
              <w:rPr>
                <w:rStyle w:val="Funotenzeichen"/>
                <w:rFonts w:ascii="Arial" w:eastAsia="Arial" w:hAnsi="Arial" w:cs="Arial"/>
                <w:bCs/>
                <w:color w:val="0082C7"/>
                <w:sz w:val="24"/>
                <w:szCs w:val="24"/>
                <w:lang w:eastAsia="de-CH"/>
              </w:rPr>
              <w:footnoteReference w:id="2"/>
            </w:r>
            <w:r w:rsidR="00073337" w:rsidRPr="00E03FCE">
              <w:rPr>
                <w:rFonts w:ascii="Arial" w:eastAsia="Arial" w:hAnsi="Arial" w:cs="Arial"/>
                <w:bCs/>
                <w:color w:val="0082C7"/>
                <w:sz w:val="24"/>
                <w:szCs w:val="24"/>
                <w:lang w:eastAsia="de-CH"/>
              </w:rPr>
              <w:t xml:space="preserve"> von Kunst</w:t>
            </w:r>
            <w:r w:rsidRPr="00E03FCE">
              <w:rPr>
                <w:rFonts w:ascii="Arial" w:eastAsia="Arial" w:hAnsi="Arial" w:cs="Arial"/>
                <w:bCs/>
                <w:color w:val="0082C7"/>
                <w:sz w:val="24"/>
                <w:szCs w:val="24"/>
                <w:lang w:eastAsia="de-CH"/>
              </w:rPr>
              <w:t>.</w:t>
            </w:r>
          </w:p>
        </w:tc>
      </w:tr>
      <w:tr w:rsidR="000A4130" w:rsidRPr="000A4130" w14:paraId="05AB16D5" w14:textId="77777777" w:rsidTr="000A4130">
        <w:tc>
          <w:tcPr>
            <w:tcW w:w="4531" w:type="dxa"/>
          </w:tcPr>
          <w:p w14:paraId="3E3F3D74" w14:textId="28A0B827" w:rsidR="000A4130" w:rsidRPr="000A4130" w:rsidRDefault="000A4130" w:rsidP="00B26B87">
            <w:pPr>
              <w:spacing w:before="240" w:after="240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  <w:t>Galerie</w:t>
            </w:r>
          </w:p>
        </w:tc>
        <w:tc>
          <w:tcPr>
            <w:tcW w:w="9746" w:type="dxa"/>
          </w:tcPr>
          <w:p w14:paraId="1B256BF3" w14:textId="6DBE31C5" w:rsidR="000A4130" w:rsidRPr="00E03FCE" w:rsidRDefault="00073337" w:rsidP="00073337">
            <w:pPr>
              <w:spacing w:before="240" w:after="240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lang w:eastAsia="de-CH"/>
              </w:rPr>
            </w:pPr>
            <w:r w:rsidRPr="00E03FCE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>Räumlichkeiten zur Präsentation, Organisation, Verkauf von Kunstwerken und der Vermarktung von Künstlern. Erhält dafür eine Provision von 10 bis 50 Prozent. Dieser Wert wird mit dem Künstler oder einer anderen </w:t>
            </w:r>
            <w:r w:rsidRPr="00E03FCE">
              <w:rPr>
                <w:rFonts w:ascii="Arial" w:hAnsi="Arial" w:cs="Arial"/>
                <w:bCs/>
                <w:color w:val="0070C0"/>
                <w:sz w:val="24"/>
                <w:szCs w:val="24"/>
                <w:shd w:val="clear" w:color="auto" w:fill="FFFFFF"/>
              </w:rPr>
              <w:t>Galerie</w:t>
            </w:r>
            <w:r w:rsidRPr="00E03FCE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> meist vertraglich festgelegt.</w:t>
            </w:r>
            <w:r w:rsidRPr="00E03FCE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</w:t>
            </w:r>
          </w:p>
        </w:tc>
      </w:tr>
      <w:tr w:rsidR="000A4130" w:rsidRPr="000A4130" w14:paraId="62CAF9EE" w14:textId="77777777" w:rsidTr="000A4130">
        <w:tc>
          <w:tcPr>
            <w:tcW w:w="4531" w:type="dxa"/>
          </w:tcPr>
          <w:p w14:paraId="0F979CC8" w14:textId="4B884C0B" w:rsidR="000A4130" w:rsidRPr="000A4130" w:rsidRDefault="000A4130" w:rsidP="00B26B87">
            <w:pPr>
              <w:spacing w:before="240" w:after="240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  <w:t>Atelier</w:t>
            </w:r>
          </w:p>
        </w:tc>
        <w:tc>
          <w:tcPr>
            <w:tcW w:w="9746" w:type="dxa"/>
          </w:tcPr>
          <w:p w14:paraId="46666F5C" w14:textId="0BDA66D6" w:rsidR="000A4130" w:rsidRPr="00E03FCE" w:rsidRDefault="00073337" w:rsidP="00164A53">
            <w:pPr>
              <w:spacing w:before="240" w:after="240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lang w:eastAsia="de-CH"/>
              </w:rPr>
            </w:pPr>
            <w:r w:rsidRPr="00E03FCE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 xml:space="preserve">Werkstatt (Arbeitsplatz) </w:t>
            </w:r>
            <w:r w:rsidR="00164A53" w:rsidRPr="00E03FCE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>einer Künstlerin oder eines Künstlers</w:t>
            </w:r>
          </w:p>
        </w:tc>
      </w:tr>
      <w:tr w:rsidR="000A4130" w:rsidRPr="000A4130" w14:paraId="135CBCD9" w14:textId="77777777" w:rsidTr="000A4130">
        <w:tc>
          <w:tcPr>
            <w:tcW w:w="4531" w:type="dxa"/>
          </w:tcPr>
          <w:p w14:paraId="1FE313AD" w14:textId="757859A7" w:rsidR="000A4130" w:rsidRPr="000A4130" w:rsidRDefault="000A4130" w:rsidP="00B26B87">
            <w:pPr>
              <w:spacing w:before="240" w:after="240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  <w:t>Kunstmesse</w:t>
            </w:r>
          </w:p>
        </w:tc>
        <w:tc>
          <w:tcPr>
            <w:tcW w:w="9746" w:type="dxa"/>
          </w:tcPr>
          <w:p w14:paraId="6576A31F" w14:textId="0CCBF54D" w:rsidR="000A4130" w:rsidRPr="00E03FCE" w:rsidRDefault="00164A53" w:rsidP="00164A53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</w:pPr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>Verkaufsveranstaltung für </w:t>
            </w:r>
            <w:hyperlink r:id="rId8" w:tooltip="Bildende Kunst" w:history="1">
              <w:r w:rsidRPr="00E03FCE">
                <w:rPr>
                  <w:rFonts w:ascii="Arial" w:eastAsia="Times New Roman" w:hAnsi="Arial" w:cs="Arial"/>
                  <w:color w:val="0070C0"/>
                  <w:sz w:val="24"/>
                  <w:szCs w:val="24"/>
                  <w:lang w:eastAsia="de-CH"/>
                </w:rPr>
                <w:t>Bildende Kunst</w:t>
              </w:r>
            </w:hyperlink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> und kunstverwandte Objekte. Dient dem Handel mit Kunst und der Information und findet in regelmäßigen Abständen, meist jährlich, statt. Besuchergruppen sind sowohl Galerien, Sammler, Museen, Verlage als auch Kunstkritiker</w:t>
            </w:r>
            <w:r w:rsidR="004A0F63"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>*innen</w:t>
            </w:r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 xml:space="preserve"> und diverse Institutionen des Kunstbetriebs.</w:t>
            </w:r>
            <w:r w:rsidRPr="00E03FCE">
              <w:rPr>
                <w:rStyle w:val="Funotenzeichen"/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footnoteReference w:id="3"/>
            </w:r>
          </w:p>
        </w:tc>
      </w:tr>
      <w:tr w:rsidR="000A4130" w:rsidRPr="000A4130" w14:paraId="1D834C5C" w14:textId="77777777" w:rsidTr="000A4130">
        <w:tc>
          <w:tcPr>
            <w:tcW w:w="4531" w:type="dxa"/>
          </w:tcPr>
          <w:p w14:paraId="67C5897A" w14:textId="19A3A40F" w:rsidR="000A4130" w:rsidRPr="000A4130" w:rsidRDefault="000A4130" w:rsidP="00B26B87">
            <w:pPr>
              <w:spacing w:before="240" w:after="240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  <w:t>Kunstsammler, Kunstsammlerin</w:t>
            </w:r>
          </w:p>
        </w:tc>
        <w:tc>
          <w:tcPr>
            <w:tcW w:w="9746" w:type="dxa"/>
          </w:tcPr>
          <w:p w14:paraId="2037F373" w14:textId="16D8FE61" w:rsidR="000A4130" w:rsidRPr="00E03FCE" w:rsidRDefault="00164A53" w:rsidP="00B26B87">
            <w:pPr>
              <w:spacing w:before="240" w:after="240"/>
              <w:rPr>
                <w:rFonts w:ascii="Arial" w:eastAsia="Arial" w:hAnsi="Arial" w:cs="Arial"/>
                <w:bCs/>
                <w:color w:val="0070C0"/>
                <w:sz w:val="24"/>
                <w:szCs w:val="24"/>
                <w:lang w:eastAsia="de-CH"/>
              </w:rPr>
            </w:pPr>
            <w:r w:rsidRPr="00E03FCE">
              <w:rPr>
                <w:rFonts w:ascii="Arial" w:eastAsia="Arial" w:hAnsi="Arial" w:cs="Arial"/>
                <w:bCs/>
                <w:color w:val="0070C0"/>
                <w:sz w:val="24"/>
                <w:szCs w:val="24"/>
                <w:lang w:eastAsia="de-CH"/>
              </w:rPr>
              <w:t>Jemand, der/die leidenschaftlich Kunst sammelt und oftmals grosse Summen in Kunstwerke investiert.</w:t>
            </w:r>
          </w:p>
        </w:tc>
      </w:tr>
      <w:tr w:rsidR="000A4130" w:rsidRPr="000A4130" w14:paraId="7A6C51E5" w14:textId="77777777" w:rsidTr="000A4130">
        <w:tc>
          <w:tcPr>
            <w:tcW w:w="4531" w:type="dxa"/>
          </w:tcPr>
          <w:p w14:paraId="273FEE9F" w14:textId="0EF8777A" w:rsidR="000A4130" w:rsidRPr="000A4130" w:rsidRDefault="000A4130" w:rsidP="00B26B87">
            <w:pPr>
              <w:spacing w:before="240" w:after="240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  <w:t>Kunstförderung und Kunstpreis</w:t>
            </w:r>
          </w:p>
        </w:tc>
        <w:tc>
          <w:tcPr>
            <w:tcW w:w="9746" w:type="dxa"/>
          </w:tcPr>
          <w:p w14:paraId="5AB204BB" w14:textId="47A1F13B" w:rsidR="000A4130" w:rsidRPr="00E03FCE" w:rsidRDefault="004A0F63" w:rsidP="004A7833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</w:pPr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br/>
            </w:r>
            <w:r w:rsidR="004A7833"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 xml:space="preserve">Die Abteilung Kulturförderung des Kantons Luzern fördert gemäss Kulturförderungs-gesetz das kulturelle und künstlerische Schaffen bzw. deren möglichst breite Vermittlung insbesondere durch Projekt-/Werk- und Veranstaltungsbeiträge, durch Auszeichnungen </w:t>
            </w:r>
            <w:r w:rsidR="004A7833"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lastRenderedPageBreak/>
              <w:t>(z.B. Kunstpreis), Ankäufe, Aufträge sowie durch Subventionen und Beteiligungen an grossen zentralörtlichen Kulturbetrieben.</w:t>
            </w:r>
            <w:r w:rsidR="004A7833" w:rsidRPr="00E03FCE">
              <w:rPr>
                <w:rStyle w:val="Funotenzeichen"/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footnoteReference w:id="4"/>
            </w:r>
            <w:r w:rsidR="00EC4F83"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br/>
            </w:r>
          </w:p>
        </w:tc>
      </w:tr>
      <w:tr w:rsidR="000A4130" w:rsidRPr="000A4130" w14:paraId="643A13EC" w14:textId="77777777" w:rsidTr="00EC4F83">
        <w:trPr>
          <w:trHeight w:val="1169"/>
        </w:trPr>
        <w:tc>
          <w:tcPr>
            <w:tcW w:w="4531" w:type="dxa"/>
          </w:tcPr>
          <w:p w14:paraId="6A958C42" w14:textId="7D6AD0C5" w:rsidR="000A4130" w:rsidRDefault="000A4130" w:rsidP="00B26B87">
            <w:pPr>
              <w:spacing w:before="240" w:after="240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  <w:lastRenderedPageBreak/>
              <w:t>Mäzen, Mäzenin</w:t>
            </w:r>
          </w:p>
        </w:tc>
        <w:tc>
          <w:tcPr>
            <w:tcW w:w="9746" w:type="dxa"/>
          </w:tcPr>
          <w:p w14:paraId="0632C19B" w14:textId="34A6973B" w:rsidR="004A7833" w:rsidRPr="00E03FCE" w:rsidRDefault="00EC4F83" w:rsidP="00B26B87">
            <w:pPr>
              <w:spacing w:before="240" w:after="240"/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</w:pPr>
            <w:r w:rsidRPr="00E03FCE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>Vermögende Privatperson, die Kunst, Künstler oder künstlerische Tätigkeiten mit Geld unterstützt, ohne einen direkten Gegenwert zu erwarten; vergleichbar mit einem Sponsor.</w:t>
            </w:r>
            <w:r w:rsidRPr="00E03FCE">
              <w:rPr>
                <w:rStyle w:val="Funotenzeichen"/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footnoteReference w:id="5"/>
            </w:r>
            <w:r w:rsidRPr="00E03FCE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A4130" w:rsidRPr="000A4130" w14:paraId="170E8E52" w14:textId="77777777" w:rsidTr="000A4130">
        <w:tc>
          <w:tcPr>
            <w:tcW w:w="4531" w:type="dxa"/>
          </w:tcPr>
          <w:p w14:paraId="52F0C249" w14:textId="08FE52E4" w:rsidR="000A4130" w:rsidRDefault="000A4130" w:rsidP="00B26B87">
            <w:pPr>
              <w:spacing w:before="240" w:after="240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de-CH"/>
              </w:rPr>
              <w:t>Muse</w:t>
            </w:r>
          </w:p>
        </w:tc>
        <w:tc>
          <w:tcPr>
            <w:tcW w:w="9746" w:type="dxa"/>
          </w:tcPr>
          <w:p w14:paraId="02B493E7" w14:textId="3F805397" w:rsidR="00EC4F83" w:rsidRPr="00E03FCE" w:rsidRDefault="00EC4F83" w:rsidP="00EC4F83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</w:pPr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>Eine </w:t>
            </w:r>
            <w:r w:rsidRPr="00E03FCE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de-CH"/>
              </w:rPr>
              <w:t>Muse</w:t>
            </w:r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 xml:space="preserve"> ist eine </w:t>
            </w:r>
            <w:hyperlink r:id="rId9" w:tooltip="Person" w:history="1">
              <w:r w:rsidRPr="00E03FCE">
                <w:rPr>
                  <w:rFonts w:ascii="Arial" w:eastAsia="Times New Roman" w:hAnsi="Arial" w:cs="Arial"/>
                  <w:color w:val="0070C0"/>
                  <w:sz w:val="24"/>
                  <w:szCs w:val="24"/>
                  <w:lang w:eastAsia="de-CH"/>
                </w:rPr>
                <w:t>Person</w:t>
              </w:r>
            </w:hyperlink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>, die einen anderen Menschen zu </w:t>
            </w:r>
            <w:hyperlink r:id="rId10" w:tooltip="Kreativität" w:history="1">
              <w:r w:rsidRPr="00E03FCE">
                <w:rPr>
                  <w:rFonts w:ascii="Arial" w:eastAsia="Times New Roman" w:hAnsi="Arial" w:cs="Arial"/>
                  <w:color w:val="0070C0"/>
                  <w:sz w:val="24"/>
                  <w:szCs w:val="24"/>
                  <w:lang w:eastAsia="de-CH"/>
                </w:rPr>
                <w:t>kreativen</w:t>
              </w:r>
            </w:hyperlink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> Leistungen anspornt oder inspiriert. Oft finden sich Musen, vor allem </w:t>
            </w:r>
            <w:hyperlink r:id="rId11" w:tooltip="Frauen in der Kunst" w:history="1">
              <w:r w:rsidRPr="00E03FCE">
                <w:rPr>
                  <w:rFonts w:ascii="Arial" w:eastAsia="Times New Roman" w:hAnsi="Arial" w:cs="Arial"/>
                  <w:color w:val="0070C0"/>
                  <w:sz w:val="24"/>
                  <w:szCs w:val="24"/>
                  <w:lang w:eastAsia="de-CH"/>
                </w:rPr>
                <w:t>Frauen</w:t>
              </w:r>
            </w:hyperlink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>, im Umfeld von </w:t>
            </w:r>
            <w:hyperlink r:id="rId12" w:tooltip="Künstler" w:history="1">
              <w:r w:rsidRPr="00E03FCE">
                <w:rPr>
                  <w:rFonts w:ascii="Arial" w:eastAsia="Times New Roman" w:hAnsi="Arial" w:cs="Arial"/>
                  <w:color w:val="0070C0"/>
                  <w:sz w:val="24"/>
                  <w:szCs w:val="24"/>
                  <w:lang w:eastAsia="de-CH"/>
                </w:rPr>
                <w:t>Künstlern</w:t>
              </w:r>
            </w:hyperlink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>. Musen werden seit der Zeit der </w:t>
            </w:r>
            <w:hyperlink r:id="rId13" w:tooltip="Griechische Mythologie" w:history="1">
              <w:r w:rsidRPr="00E03FCE">
                <w:rPr>
                  <w:rFonts w:ascii="Arial" w:eastAsia="Times New Roman" w:hAnsi="Arial" w:cs="Arial"/>
                  <w:color w:val="0070C0"/>
                  <w:sz w:val="24"/>
                  <w:szCs w:val="24"/>
                  <w:lang w:eastAsia="de-CH"/>
                </w:rPr>
                <w:t>griechischen Mythologie</w:t>
              </w:r>
            </w:hyperlink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> als göttliche oder genialische Inspirationsquelle für Künstler genannt (Musenkuss; von der Muse geküsst). Ursprung ist die antike Vorstellung, dass Ideen (das Denken) sich nicht von selbst entwickeln, sondern von Göttern (oder eben </w:t>
            </w:r>
            <w:hyperlink r:id="rId14" w:tooltip="Muse (Mythologie)" w:history="1">
              <w:r w:rsidRPr="00E03FCE">
                <w:rPr>
                  <w:rFonts w:ascii="Arial" w:eastAsia="Times New Roman" w:hAnsi="Arial" w:cs="Arial"/>
                  <w:color w:val="0070C0"/>
                  <w:sz w:val="24"/>
                  <w:szCs w:val="24"/>
                  <w:lang w:eastAsia="de-CH"/>
                </w:rPr>
                <w:t>Musen</w:t>
              </w:r>
            </w:hyperlink>
            <w:r w:rsidRPr="00E03FCE">
              <w:rPr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t>) von außen eingegeben werden.</w:t>
            </w:r>
            <w:r w:rsidR="004A0F63" w:rsidRPr="00E03FCE">
              <w:rPr>
                <w:rStyle w:val="Funotenzeichen"/>
                <w:rFonts w:ascii="Arial" w:eastAsia="Times New Roman" w:hAnsi="Arial" w:cs="Arial"/>
                <w:color w:val="0070C0"/>
                <w:sz w:val="24"/>
                <w:szCs w:val="24"/>
                <w:lang w:eastAsia="de-CH"/>
              </w:rPr>
              <w:footnoteReference w:id="6"/>
            </w:r>
          </w:p>
          <w:p w14:paraId="795A44CE" w14:textId="5A270996" w:rsidR="000A4130" w:rsidRPr="00E03FCE" w:rsidRDefault="00EC4F83" w:rsidP="00862286">
            <w:pPr>
              <w:spacing w:before="240" w:after="240"/>
              <w:rPr>
                <w:rFonts w:ascii="Arial" w:eastAsia="Arial" w:hAnsi="Arial" w:cs="Arial"/>
                <w:b/>
                <w:bCs/>
                <w:color w:val="0082C7"/>
                <w:sz w:val="24"/>
                <w:szCs w:val="24"/>
                <w:lang w:eastAsia="de-CH"/>
              </w:rPr>
            </w:pPr>
            <w:r w:rsidRPr="00E03FCE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>Die Luzerner Mäzenin Angela Rosengart</w:t>
            </w:r>
            <w:r w:rsidR="00862286" w:rsidRPr="00E03FCE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 xml:space="preserve"> ist die Grande Dame des Schweizer Kunsthandels und Stifterin eines der hochkarätigsten Privatmuseen der Schweiz, der Sammlung Rosengart in der Stadt Luzern. Sie war die Muse des Kunstmalers Picasso.</w:t>
            </w:r>
            <w:r w:rsidR="00862286" w:rsidRPr="00E03FCE">
              <w:rPr>
                <w:rStyle w:val="Funotenzeichen"/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footnoteReference w:id="7"/>
            </w:r>
          </w:p>
        </w:tc>
      </w:tr>
    </w:tbl>
    <w:p w14:paraId="1E2427A5" w14:textId="34BCC4A3" w:rsidR="005C6C70" w:rsidRDefault="005C6C70" w:rsidP="00B26B87">
      <w:pPr>
        <w:spacing w:before="240" w:after="240"/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</w:pPr>
    </w:p>
    <w:sectPr w:rsidR="005C6C70" w:rsidSect="000A4130">
      <w:headerReference w:type="default" r:id="rId15"/>
      <w:footerReference w:type="default" r:id="rId16"/>
      <w:pgSz w:w="16838" w:h="11906" w:orient="landscape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56E9" w14:textId="77777777" w:rsidR="00D94430" w:rsidRDefault="00D94430" w:rsidP="00896A0B">
      <w:pPr>
        <w:spacing w:after="0" w:line="240" w:lineRule="auto"/>
      </w:pPr>
      <w:r>
        <w:separator/>
      </w:r>
    </w:p>
  </w:endnote>
  <w:endnote w:type="continuationSeparator" w:id="0">
    <w:p w14:paraId="426D95BE" w14:textId="77777777" w:rsidR="00D94430" w:rsidRDefault="00D94430" w:rsidP="0089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EF39" w14:textId="77777777" w:rsidR="005F6E51" w:rsidRDefault="00453905" w:rsidP="00896A0B">
    <w:pPr>
      <w:pStyle w:val="Fuzeile"/>
      <w:jc w:val="center"/>
      <w:rPr>
        <w:rFonts w:ascii="Arial" w:hAnsi="Arial" w:cs="Arial"/>
      </w:rPr>
    </w:pPr>
    <w:r w:rsidRPr="00453905">
      <w:rPr>
        <w:rFonts w:ascii="Arial" w:hAnsi="Arial" w:cs="Arial"/>
      </w:rPr>
      <w:t>«Heimat Luzern – was bedeutet das für die Kunst- und Kulturszene im Kanton Luzern?»</w:t>
    </w:r>
    <w:r>
      <w:rPr>
        <w:rFonts w:ascii="Arial" w:hAnsi="Arial" w:cs="Arial"/>
      </w:rPr>
      <w:t xml:space="preserve"> </w:t>
    </w:r>
  </w:p>
  <w:p w14:paraId="0892CBB3" w14:textId="5E8FF2DB" w:rsidR="00896A0B" w:rsidRPr="00896A0B" w:rsidRDefault="000A4130" w:rsidP="00896A0B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>Kunstszene – Personen und Einrichtungen?</w:t>
    </w:r>
    <w:r w:rsidR="005F6E51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B328" w14:textId="77777777" w:rsidR="00D94430" w:rsidRDefault="00D94430" w:rsidP="00896A0B">
      <w:pPr>
        <w:spacing w:after="0" w:line="240" w:lineRule="auto"/>
      </w:pPr>
      <w:r>
        <w:separator/>
      </w:r>
    </w:p>
  </w:footnote>
  <w:footnote w:type="continuationSeparator" w:id="0">
    <w:p w14:paraId="1757E17B" w14:textId="77777777" w:rsidR="00D94430" w:rsidRDefault="00D94430" w:rsidP="00896A0B">
      <w:pPr>
        <w:spacing w:after="0" w:line="240" w:lineRule="auto"/>
      </w:pPr>
      <w:r>
        <w:continuationSeparator/>
      </w:r>
    </w:p>
  </w:footnote>
  <w:footnote w:id="1">
    <w:p w14:paraId="4AB3BC47" w14:textId="22505A6E" w:rsidR="00073337" w:rsidRDefault="0007333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73337">
        <w:rPr>
          <w:rFonts w:ascii="Verdana" w:hAnsi="Verdana"/>
          <w:color w:val="0070C0"/>
          <w:sz w:val="16"/>
          <w:szCs w:val="16"/>
          <w:shd w:val="clear" w:color="auto" w:fill="FFFFFF"/>
        </w:rPr>
        <w:t>Für kommende Generationen erhalten: Erfordert Klimaboxen, abgedunkelte Räume und eine permanente Luftreinigung, um die Werke zu erhalten – auch um gegen Pilz- oder Schädlingsbefall vorzubeugen.</w:t>
      </w:r>
    </w:p>
  </w:footnote>
  <w:footnote w:id="2">
    <w:p w14:paraId="682E0262" w14:textId="588B5421" w:rsidR="00073337" w:rsidRDefault="0007333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73337">
        <w:rPr>
          <w:color w:val="0070C0"/>
        </w:rPr>
        <w:t>Zum Beispiel in Form von Führungen oder anderen Events für Gruppen, Schulklassen und Einzelpersonen (Museumspädagogik).</w:t>
      </w:r>
    </w:p>
  </w:footnote>
  <w:footnote w:id="3">
    <w:p w14:paraId="2F54543C" w14:textId="4E91CCC5" w:rsidR="00164A53" w:rsidRPr="00164A53" w:rsidRDefault="00164A53">
      <w:pPr>
        <w:pStyle w:val="Funotentext"/>
        <w:rPr>
          <w:color w:val="0070C0"/>
        </w:rPr>
      </w:pPr>
      <w:r>
        <w:rPr>
          <w:rStyle w:val="Funotenzeichen"/>
        </w:rPr>
        <w:footnoteRef/>
      </w:r>
      <w:r>
        <w:t xml:space="preserve"> </w:t>
      </w:r>
      <w:r w:rsidRPr="00164A53">
        <w:rPr>
          <w:color w:val="0070C0"/>
        </w:rPr>
        <w:t>Wikipedia</w:t>
      </w:r>
    </w:p>
  </w:footnote>
  <w:footnote w:id="4">
    <w:p w14:paraId="4362818F" w14:textId="30C581B9" w:rsidR="004A7833" w:rsidRPr="004A7833" w:rsidRDefault="004A7833">
      <w:pPr>
        <w:pStyle w:val="Funotentext"/>
        <w:rPr>
          <w:color w:val="0070C0"/>
        </w:rPr>
      </w:pPr>
      <w:r>
        <w:rPr>
          <w:rStyle w:val="Funotenzeichen"/>
        </w:rPr>
        <w:footnoteRef/>
      </w:r>
      <w:r>
        <w:t xml:space="preserve"> </w:t>
      </w:r>
      <w:r w:rsidRPr="004A7833">
        <w:rPr>
          <w:color w:val="0070C0"/>
        </w:rPr>
        <w:t>Siehe Kantonale Website, Kulturförderung: www.lu.ch</w:t>
      </w:r>
    </w:p>
  </w:footnote>
  <w:footnote w:id="5">
    <w:p w14:paraId="76047ABD" w14:textId="51261133" w:rsidR="00EC4F83" w:rsidRPr="00EC4F83" w:rsidRDefault="00EC4F83">
      <w:pPr>
        <w:pStyle w:val="Funotentext"/>
        <w:rPr>
          <w:color w:val="0070C0"/>
        </w:rPr>
      </w:pPr>
      <w:r>
        <w:rPr>
          <w:rStyle w:val="Funotenzeichen"/>
        </w:rPr>
        <w:footnoteRef/>
      </w:r>
      <w:r>
        <w:t xml:space="preserve"> </w:t>
      </w:r>
      <w:r w:rsidRPr="00EC4F83">
        <w:rPr>
          <w:color w:val="0070C0"/>
        </w:rPr>
        <w:t>de.wiktionary.org/</w:t>
      </w:r>
      <w:proofErr w:type="spellStart"/>
      <w:r w:rsidRPr="00EC4F83">
        <w:rPr>
          <w:color w:val="0070C0"/>
        </w:rPr>
        <w:t>wiki</w:t>
      </w:r>
      <w:proofErr w:type="spellEnd"/>
      <w:r w:rsidRPr="00EC4F83">
        <w:rPr>
          <w:color w:val="0070C0"/>
        </w:rPr>
        <w:t>/Mäzen</w:t>
      </w:r>
    </w:p>
  </w:footnote>
  <w:footnote w:id="6">
    <w:p w14:paraId="3913957B" w14:textId="322AE6D8" w:rsidR="004A0F63" w:rsidRPr="004A0F63" w:rsidRDefault="004A0F63">
      <w:pPr>
        <w:pStyle w:val="Funotentext"/>
        <w:rPr>
          <w:color w:val="0070C0"/>
        </w:rPr>
      </w:pPr>
      <w:r>
        <w:rPr>
          <w:rStyle w:val="Funotenzeichen"/>
        </w:rPr>
        <w:footnoteRef/>
      </w:r>
      <w:r>
        <w:t xml:space="preserve"> </w:t>
      </w:r>
      <w:r w:rsidRPr="004A0F63">
        <w:rPr>
          <w:color w:val="0070C0"/>
        </w:rPr>
        <w:t>de.wikipedia.org/</w:t>
      </w:r>
      <w:proofErr w:type="spellStart"/>
      <w:r w:rsidRPr="004A0F63">
        <w:rPr>
          <w:color w:val="0070C0"/>
        </w:rPr>
        <w:t>wiki</w:t>
      </w:r>
      <w:proofErr w:type="spellEnd"/>
      <w:r w:rsidRPr="004A0F63">
        <w:rPr>
          <w:color w:val="0070C0"/>
        </w:rPr>
        <w:t>/Muse_(Beziehung)</w:t>
      </w:r>
    </w:p>
  </w:footnote>
  <w:footnote w:id="7">
    <w:p w14:paraId="26A7B295" w14:textId="59DF394F" w:rsidR="00862286" w:rsidRDefault="0086228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62286">
        <w:rPr>
          <w:color w:val="0070C0"/>
        </w:rPr>
        <w:t>https://www.tagesspiegel.de/gesellschaft/sammlung-rosengart-von-picasso-gebannt/14895254.html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0082C7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3600"/>
      <w:gridCol w:w="2799"/>
    </w:tblGrid>
    <w:tr w:rsidR="00896A0B" w14:paraId="69B3C3C5" w14:textId="77777777" w:rsidTr="0064654C">
      <w:tc>
        <w:tcPr>
          <w:tcW w:w="0" w:type="auto"/>
        </w:tcPr>
        <w:p w14:paraId="3EB355B1" w14:textId="77777777" w:rsidR="00896A0B" w:rsidRDefault="00896A0B" w:rsidP="00896A0B">
          <w:r>
            <w:rPr>
              <w:noProof/>
              <w:lang w:eastAsia="de-CH"/>
            </w:rPr>
            <w:drawing>
              <wp:inline distT="0" distB="0" distL="0" distR="0" wp14:anchorId="306A4ED5" wp14:editId="795F1B4A">
                <wp:extent cx="2667000" cy="381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00EB4DBB" w14:textId="77777777" w:rsidR="00896A0B" w:rsidRDefault="00896A0B" w:rsidP="00896A0B"/>
      </w:tc>
      <w:tc>
        <w:tcPr>
          <w:tcW w:w="0" w:type="auto"/>
          <w:vAlign w:val="bottom"/>
        </w:tcPr>
        <w:p w14:paraId="5E11BE06" w14:textId="77777777" w:rsidR="00896A0B" w:rsidRDefault="00896A0B" w:rsidP="00896A0B">
          <w:r>
            <w:rPr>
              <w:rStyle w:val="headerFont"/>
            </w:rPr>
            <w:t>entdecke.lu.ch</w:t>
          </w:r>
        </w:p>
      </w:tc>
    </w:tr>
  </w:tbl>
  <w:p w14:paraId="757DE0B2" w14:textId="77777777" w:rsidR="00896A0B" w:rsidRDefault="00896A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5347"/>
    <w:multiLevelType w:val="hybridMultilevel"/>
    <w:tmpl w:val="2968E9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2890"/>
    <w:multiLevelType w:val="hybridMultilevel"/>
    <w:tmpl w:val="CEA4DF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3C6B"/>
    <w:multiLevelType w:val="hybridMultilevel"/>
    <w:tmpl w:val="261440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00DD"/>
    <w:multiLevelType w:val="multilevel"/>
    <w:tmpl w:val="B58E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9420D"/>
    <w:multiLevelType w:val="hybridMultilevel"/>
    <w:tmpl w:val="9B8A9598"/>
    <w:lvl w:ilvl="0" w:tplc="A0BAA92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348CB"/>
    <w:multiLevelType w:val="hybridMultilevel"/>
    <w:tmpl w:val="A43630F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B57697"/>
    <w:multiLevelType w:val="hybridMultilevel"/>
    <w:tmpl w:val="81B2E8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B692B"/>
    <w:multiLevelType w:val="multilevel"/>
    <w:tmpl w:val="CB62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65341"/>
    <w:multiLevelType w:val="hybridMultilevel"/>
    <w:tmpl w:val="318AEB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718F4"/>
    <w:multiLevelType w:val="hybridMultilevel"/>
    <w:tmpl w:val="130629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42133"/>
    <w:multiLevelType w:val="multilevel"/>
    <w:tmpl w:val="94B2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57AEF"/>
    <w:multiLevelType w:val="hybridMultilevel"/>
    <w:tmpl w:val="9DF094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75"/>
    <w:rsid w:val="00037508"/>
    <w:rsid w:val="00073337"/>
    <w:rsid w:val="000A4130"/>
    <w:rsid w:val="000E1CBF"/>
    <w:rsid w:val="0016451D"/>
    <w:rsid w:val="00164A53"/>
    <w:rsid w:val="00191E13"/>
    <w:rsid w:val="001C2F0F"/>
    <w:rsid w:val="001D035C"/>
    <w:rsid w:val="002213B6"/>
    <w:rsid w:val="00262536"/>
    <w:rsid w:val="0027752C"/>
    <w:rsid w:val="003725A3"/>
    <w:rsid w:val="003C4CDE"/>
    <w:rsid w:val="00432BC6"/>
    <w:rsid w:val="00453905"/>
    <w:rsid w:val="0048772E"/>
    <w:rsid w:val="004A0F63"/>
    <w:rsid w:val="004A7833"/>
    <w:rsid w:val="004F790D"/>
    <w:rsid w:val="004F7AF9"/>
    <w:rsid w:val="0052324A"/>
    <w:rsid w:val="005C6C70"/>
    <w:rsid w:val="005D2001"/>
    <w:rsid w:val="005F6E51"/>
    <w:rsid w:val="00645F4B"/>
    <w:rsid w:val="006963D1"/>
    <w:rsid w:val="00710B11"/>
    <w:rsid w:val="00722B31"/>
    <w:rsid w:val="00731028"/>
    <w:rsid w:val="007400F0"/>
    <w:rsid w:val="007606DD"/>
    <w:rsid w:val="00766C02"/>
    <w:rsid w:val="00781E50"/>
    <w:rsid w:val="007A5C7A"/>
    <w:rsid w:val="007C1A39"/>
    <w:rsid w:val="007C71C4"/>
    <w:rsid w:val="00835B12"/>
    <w:rsid w:val="00862286"/>
    <w:rsid w:val="00896A0B"/>
    <w:rsid w:val="008A71CC"/>
    <w:rsid w:val="008F39F8"/>
    <w:rsid w:val="008F3C2B"/>
    <w:rsid w:val="008F4BCB"/>
    <w:rsid w:val="0095314A"/>
    <w:rsid w:val="00967BCD"/>
    <w:rsid w:val="00A01071"/>
    <w:rsid w:val="00A04401"/>
    <w:rsid w:val="00A04C20"/>
    <w:rsid w:val="00A84960"/>
    <w:rsid w:val="00B26B87"/>
    <w:rsid w:val="00B41C40"/>
    <w:rsid w:val="00B43805"/>
    <w:rsid w:val="00B472E4"/>
    <w:rsid w:val="00C01F75"/>
    <w:rsid w:val="00C64640"/>
    <w:rsid w:val="00C73621"/>
    <w:rsid w:val="00CC7871"/>
    <w:rsid w:val="00D14DB9"/>
    <w:rsid w:val="00D17FCF"/>
    <w:rsid w:val="00D2577C"/>
    <w:rsid w:val="00D61484"/>
    <w:rsid w:val="00D87983"/>
    <w:rsid w:val="00D94430"/>
    <w:rsid w:val="00DF6794"/>
    <w:rsid w:val="00E0143C"/>
    <w:rsid w:val="00E03FCE"/>
    <w:rsid w:val="00EC4F83"/>
    <w:rsid w:val="00F64B0A"/>
    <w:rsid w:val="00FC3800"/>
    <w:rsid w:val="00FD14FC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66EDA"/>
  <w15:docId w15:val="{81CF883B-225A-4898-B1D4-6F8E93BD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1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7983"/>
    <w:pPr>
      <w:ind w:left="720"/>
      <w:contextualSpacing/>
    </w:pPr>
  </w:style>
  <w:style w:type="paragraph" w:styleId="KeinLeerraum">
    <w:name w:val="No Spacing"/>
    <w:uiPriority w:val="1"/>
    <w:qFormat/>
    <w:rsid w:val="00B41C4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64640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E1AA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37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432BC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9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A0B"/>
  </w:style>
  <w:style w:type="paragraph" w:styleId="Fuzeile">
    <w:name w:val="footer"/>
    <w:basedOn w:val="Standard"/>
    <w:link w:val="FuzeileZchn"/>
    <w:uiPriority w:val="99"/>
    <w:unhideWhenUsed/>
    <w:rsid w:val="0089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A0B"/>
  </w:style>
  <w:style w:type="character" w:customStyle="1" w:styleId="headerFont">
    <w:name w:val="headerFont"/>
    <w:rsid w:val="00896A0B"/>
    <w:rPr>
      <w:rFonts w:ascii="Arial" w:eastAsia="Arial" w:hAnsi="Arial" w:cs="Arial"/>
      <w:b/>
      <w:bCs/>
      <w:color w:val="0082C7"/>
      <w:sz w:val="40"/>
      <w:szCs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E51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7333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333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3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7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Bildende_Kunst" TargetMode="External"/><Relationship Id="rId13" Type="http://schemas.openxmlformats.org/officeDocument/2006/relationships/hyperlink" Target="https://de.wikipedia.org/wiki/Griechische_Mytholog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K%C3%BCnstl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Frauen_in_der_Kun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e.wikipedia.org/wiki/Kreativit%C3%A4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Person" TargetMode="External"/><Relationship Id="rId14" Type="http://schemas.openxmlformats.org/officeDocument/2006/relationships/hyperlink" Target="https://de.wikipedia.org/wiki/Muse_(Mythologie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72C0-8DA0-4252-93AD-FBAE7FD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2411</Characters>
  <Application>Microsoft Office Word</Application>
  <DocSecurity>4</DocSecurity>
  <Lines>482</Lines>
  <Paragraphs>482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Schallberger</dc:creator>
  <cp:lastModifiedBy>Ammer Tina</cp:lastModifiedBy>
  <cp:revision>2</cp:revision>
  <cp:lastPrinted>2020-12-10T07:34:00Z</cp:lastPrinted>
  <dcterms:created xsi:type="dcterms:W3CDTF">2021-04-14T17:17:00Z</dcterms:created>
  <dcterms:modified xsi:type="dcterms:W3CDTF">2021-04-14T17:17:00Z</dcterms:modified>
</cp:coreProperties>
</file>